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29" w:rsidRPr="002A1846" w:rsidRDefault="00CB7A8A" w:rsidP="008B2529">
      <w:pPr>
        <w:jc w:val="center"/>
        <w:rPr>
          <w:rFonts w:ascii="Arial" w:hAnsi="Arial" w:cs="Arial"/>
          <w:b/>
          <w:szCs w:val="24"/>
          <w:u w:val="single"/>
        </w:rPr>
      </w:pPr>
      <w:r w:rsidRPr="002A1846">
        <w:rPr>
          <w:rFonts w:ascii="Arial" w:hAnsi="Arial" w:cs="Arial"/>
          <w:b/>
          <w:szCs w:val="24"/>
          <w:u w:val="single"/>
        </w:rPr>
        <w:t>C</w:t>
      </w:r>
      <w:r w:rsidR="00767993" w:rsidRPr="002A1846">
        <w:rPr>
          <w:rFonts w:ascii="Arial" w:hAnsi="Arial" w:cs="Arial"/>
          <w:b/>
          <w:szCs w:val="24"/>
          <w:u w:val="single"/>
        </w:rPr>
        <w:t>QC/Ofsted Local Area Inspection</w:t>
      </w:r>
      <w:r w:rsidR="00E307B4" w:rsidRPr="002A1846">
        <w:rPr>
          <w:rFonts w:ascii="Arial" w:hAnsi="Arial" w:cs="Arial"/>
          <w:b/>
          <w:szCs w:val="24"/>
          <w:u w:val="single"/>
        </w:rPr>
        <w:t xml:space="preserve"> – An Overview</w:t>
      </w:r>
    </w:p>
    <w:p w:rsidR="00016F28" w:rsidRPr="002A1846" w:rsidRDefault="00016F28" w:rsidP="008B2529">
      <w:pPr>
        <w:jc w:val="both"/>
        <w:rPr>
          <w:rFonts w:ascii="Arial" w:hAnsi="Arial" w:cs="Arial"/>
          <w:szCs w:val="24"/>
        </w:rPr>
      </w:pPr>
      <w:r w:rsidRPr="002A1846">
        <w:rPr>
          <w:rFonts w:ascii="Arial" w:hAnsi="Arial" w:cs="Arial"/>
          <w:szCs w:val="24"/>
        </w:rPr>
        <w:t>This article provides an overview of the CQC/Ofsted Local Area Inspection</w:t>
      </w:r>
      <w:r w:rsidR="002A1846">
        <w:rPr>
          <w:rFonts w:ascii="Arial" w:hAnsi="Arial" w:cs="Arial"/>
          <w:szCs w:val="24"/>
        </w:rPr>
        <w:t>,</w:t>
      </w:r>
      <w:r w:rsidRPr="002A1846">
        <w:rPr>
          <w:rFonts w:ascii="Arial" w:hAnsi="Arial" w:cs="Arial"/>
          <w:szCs w:val="24"/>
        </w:rPr>
        <w:t xml:space="preserve"> which form part of the implementation of the SEND Reforms. </w:t>
      </w:r>
    </w:p>
    <w:p w:rsidR="008B2529" w:rsidRPr="002A1846" w:rsidRDefault="008B2529" w:rsidP="008B2529">
      <w:pPr>
        <w:jc w:val="both"/>
        <w:rPr>
          <w:rFonts w:ascii="Arial" w:hAnsi="Arial" w:cs="Arial"/>
          <w:b/>
          <w:szCs w:val="24"/>
        </w:rPr>
      </w:pPr>
      <w:r w:rsidRPr="002A1846">
        <w:rPr>
          <w:rFonts w:ascii="Arial" w:hAnsi="Arial" w:cs="Arial"/>
          <w:b/>
          <w:szCs w:val="24"/>
        </w:rPr>
        <w:t>Background</w:t>
      </w:r>
    </w:p>
    <w:p w:rsidR="008B2529" w:rsidRPr="002A1846" w:rsidRDefault="008B2529" w:rsidP="008B2529">
      <w:pPr>
        <w:jc w:val="both"/>
        <w:rPr>
          <w:rFonts w:ascii="Arial" w:hAnsi="Arial" w:cs="Arial"/>
          <w:szCs w:val="24"/>
        </w:rPr>
      </w:pPr>
      <w:r w:rsidRPr="002A1846">
        <w:rPr>
          <w:rFonts w:ascii="Arial" w:hAnsi="Arial" w:cs="Arial"/>
          <w:szCs w:val="24"/>
        </w:rPr>
        <w:t xml:space="preserve">New duties regarding disability and special educational needs (contained in the Children and Families Act 2014 – explained in the SEND Code of Practice) came into force in September 2014. These duties place responsibilities on a local area, which includes the local authority and health commissioners and providers, together with all the all the area’s early years settings, schools and post 16 further education sector, to identify and meet the needs of disabled children and young people and those who have special educational needs aged 0-25.  </w:t>
      </w:r>
    </w:p>
    <w:p w:rsidR="008B2529" w:rsidRPr="002A1846" w:rsidRDefault="008B2529" w:rsidP="008B2529">
      <w:pPr>
        <w:jc w:val="both"/>
        <w:rPr>
          <w:rFonts w:ascii="Arial" w:hAnsi="Arial" w:cs="Arial"/>
          <w:b/>
          <w:szCs w:val="24"/>
        </w:rPr>
      </w:pPr>
      <w:r w:rsidRPr="002A1846">
        <w:rPr>
          <w:rFonts w:ascii="Arial" w:hAnsi="Arial" w:cs="Arial"/>
          <w:b/>
          <w:szCs w:val="24"/>
        </w:rPr>
        <w:t>Inspection Scope</w:t>
      </w:r>
    </w:p>
    <w:p w:rsidR="00016F28" w:rsidRPr="002A1846" w:rsidRDefault="008B2529" w:rsidP="008B2529">
      <w:pPr>
        <w:jc w:val="both"/>
        <w:rPr>
          <w:rFonts w:ascii="Arial" w:hAnsi="Arial" w:cs="Arial"/>
          <w:szCs w:val="24"/>
        </w:rPr>
      </w:pPr>
      <w:r w:rsidRPr="002A1846">
        <w:rPr>
          <w:rFonts w:ascii="Arial" w:hAnsi="Arial" w:cs="Arial"/>
          <w:szCs w:val="24"/>
        </w:rPr>
        <w:t xml:space="preserve">The inspection will evaluate how effectively the local area meets its responsibilities for disabled children and young people and those who have special educational needs. </w:t>
      </w:r>
      <w:r w:rsidRPr="002A1846">
        <w:rPr>
          <w:rFonts w:ascii="Arial" w:hAnsi="Arial" w:cs="Arial"/>
          <w:b/>
          <w:szCs w:val="24"/>
        </w:rPr>
        <w:t>This includes children and young people both with and without education, health and care plans</w:t>
      </w:r>
      <w:r w:rsidRPr="002A1846">
        <w:rPr>
          <w:rFonts w:ascii="Arial" w:hAnsi="Arial" w:cs="Arial"/>
          <w:szCs w:val="24"/>
        </w:rPr>
        <w:t xml:space="preserve">. </w:t>
      </w:r>
    </w:p>
    <w:p w:rsidR="00016F28" w:rsidRPr="002A1846" w:rsidRDefault="008B2529" w:rsidP="008B2529">
      <w:pPr>
        <w:jc w:val="both"/>
        <w:rPr>
          <w:rFonts w:ascii="Arial" w:hAnsi="Arial" w:cs="Arial"/>
          <w:szCs w:val="24"/>
        </w:rPr>
      </w:pPr>
      <w:r w:rsidRPr="002A1846">
        <w:rPr>
          <w:rFonts w:ascii="Arial" w:hAnsi="Arial" w:cs="Arial"/>
          <w:szCs w:val="24"/>
        </w:rPr>
        <w:t xml:space="preserve">While the local authority has the key leadership role within its area, </w:t>
      </w:r>
      <w:r w:rsidRPr="002A1846">
        <w:rPr>
          <w:rFonts w:ascii="Arial" w:hAnsi="Arial" w:cs="Arial"/>
          <w:b/>
          <w:szCs w:val="24"/>
        </w:rPr>
        <w:t>the inspection will not simply evaluate the effectiveness of the local authority</w:t>
      </w:r>
      <w:r w:rsidRPr="002A1846">
        <w:rPr>
          <w:rFonts w:ascii="Arial" w:hAnsi="Arial" w:cs="Arial"/>
          <w:szCs w:val="24"/>
        </w:rPr>
        <w:t xml:space="preserve">. The local authority cannot on its own implement successfully the reforms. Success requires full involvement of the local area. The inspection will, therefore, </w:t>
      </w:r>
      <w:r w:rsidRPr="002A1846">
        <w:rPr>
          <w:rFonts w:ascii="Arial" w:hAnsi="Arial" w:cs="Arial"/>
          <w:b/>
          <w:szCs w:val="24"/>
        </w:rPr>
        <w:t>evaluate the effectiveness of the local area as a whole</w:t>
      </w:r>
      <w:r w:rsidR="004B15EB" w:rsidRPr="002A1846">
        <w:rPr>
          <w:rFonts w:ascii="Arial" w:hAnsi="Arial" w:cs="Arial"/>
          <w:szCs w:val="24"/>
        </w:rPr>
        <w:t xml:space="preserve">. The local area includes - </w:t>
      </w:r>
    </w:p>
    <w:p w:rsidR="00CC38A1" w:rsidRPr="002A1846" w:rsidRDefault="00CC38A1" w:rsidP="00016F28">
      <w:pPr>
        <w:pStyle w:val="ListParagraph"/>
        <w:numPr>
          <w:ilvl w:val="0"/>
          <w:numId w:val="21"/>
        </w:numPr>
        <w:jc w:val="both"/>
        <w:rPr>
          <w:rFonts w:ascii="Arial" w:hAnsi="Arial" w:cs="Arial"/>
          <w:szCs w:val="24"/>
        </w:rPr>
      </w:pPr>
      <w:r w:rsidRPr="002A1846">
        <w:rPr>
          <w:rFonts w:ascii="Arial" w:hAnsi="Arial" w:cs="Arial"/>
          <w:szCs w:val="24"/>
        </w:rPr>
        <w:t>Clinical Commissioning Groups (CCGs)</w:t>
      </w:r>
      <w:r>
        <w:rPr>
          <w:rFonts w:ascii="Arial" w:hAnsi="Arial" w:cs="Arial"/>
          <w:szCs w:val="24"/>
        </w:rPr>
        <w:t>.</w:t>
      </w:r>
    </w:p>
    <w:p w:rsidR="00CC38A1" w:rsidRPr="002A1846" w:rsidRDefault="00CC38A1" w:rsidP="00016F28">
      <w:pPr>
        <w:pStyle w:val="ListParagraph"/>
        <w:numPr>
          <w:ilvl w:val="0"/>
          <w:numId w:val="21"/>
        </w:numPr>
        <w:jc w:val="both"/>
        <w:rPr>
          <w:rFonts w:ascii="Arial" w:hAnsi="Arial" w:cs="Arial"/>
          <w:szCs w:val="24"/>
        </w:rPr>
      </w:pPr>
      <w:r w:rsidRPr="002A1846">
        <w:rPr>
          <w:rFonts w:ascii="Arial" w:hAnsi="Arial" w:cs="Arial"/>
          <w:szCs w:val="24"/>
        </w:rPr>
        <w:t>E</w:t>
      </w:r>
      <w:r>
        <w:rPr>
          <w:rFonts w:ascii="Arial" w:hAnsi="Arial" w:cs="Arial"/>
          <w:szCs w:val="24"/>
        </w:rPr>
        <w:t>arly year’s settings.</w:t>
      </w:r>
    </w:p>
    <w:p w:rsidR="00CC38A1" w:rsidRDefault="00CC38A1" w:rsidP="00016F28">
      <w:pPr>
        <w:pStyle w:val="ListParagraph"/>
        <w:numPr>
          <w:ilvl w:val="0"/>
          <w:numId w:val="21"/>
        </w:numPr>
        <w:jc w:val="both"/>
        <w:rPr>
          <w:rFonts w:ascii="Arial" w:hAnsi="Arial" w:cs="Arial"/>
          <w:szCs w:val="24"/>
        </w:rPr>
      </w:pPr>
      <w:r w:rsidRPr="002A1846">
        <w:rPr>
          <w:rFonts w:ascii="Arial" w:hAnsi="Arial" w:cs="Arial"/>
          <w:szCs w:val="24"/>
        </w:rPr>
        <w:t>Further education sector</w:t>
      </w:r>
      <w:r>
        <w:rPr>
          <w:rFonts w:ascii="Arial" w:hAnsi="Arial" w:cs="Arial"/>
          <w:szCs w:val="24"/>
        </w:rPr>
        <w:t>.</w:t>
      </w:r>
    </w:p>
    <w:p w:rsidR="00CC38A1" w:rsidRPr="002A1846" w:rsidRDefault="00CC38A1" w:rsidP="00016F28">
      <w:pPr>
        <w:pStyle w:val="ListParagraph"/>
        <w:numPr>
          <w:ilvl w:val="0"/>
          <w:numId w:val="21"/>
        </w:numPr>
        <w:jc w:val="both"/>
        <w:rPr>
          <w:rFonts w:ascii="Arial" w:hAnsi="Arial" w:cs="Arial"/>
          <w:szCs w:val="24"/>
        </w:rPr>
      </w:pPr>
      <w:r w:rsidRPr="002A1846">
        <w:rPr>
          <w:rFonts w:ascii="Arial" w:hAnsi="Arial" w:cs="Arial"/>
          <w:szCs w:val="24"/>
        </w:rPr>
        <w:t>NHS En</w:t>
      </w:r>
      <w:r>
        <w:rPr>
          <w:rFonts w:ascii="Arial" w:hAnsi="Arial" w:cs="Arial"/>
          <w:szCs w:val="24"/>
        </w:rPr>
        <w:t>gland (for specialist services).</w:t>
      </w:r>
      <w:r w:rsidRPr="002A1846">
        <w:rPr>
          <w:rFonts w:ascii="Arial" w:hAnsi="Arial" w:cs="Arial"/>
          <w:szCs w:val="24"/>
        </w:rPr>
        <w:t xml:space="preserve"> </w:t>
      </w:r>
    </w:p>
    <w:p w:rsidR="00CC38A1" w:rsidRPr="00CC38A1" w:rsidRDefault="00CC38A1" w:rsidP="00016F28">
      <w:pPr>
        <w:pStyle w:val="ListParagraph"/>
        <w:numPr>
          <w:ilvl w:val="0"/>
          <w:numId w:val="21"/>
        </w:numPr>
        <w:jc w:val="both"/>
        <w:rPr>
          <w:rFonts w:ascii="Arial" w:hAnsi="Arial" w:cs="Arial"/>
          <w:szCs w:val="24"/>
        </w:rPr>
      </w:pPr>
      <w:r w:rsidRPr="00CC38A1">
        <w:rPr>
          <w:rFonts w:ascii="Arial" w:hAnsi="Arial" w:cs="Arial"/>
        </w:rPr>
        <w:t>NHS provider organisations including Trusts and GPs</w:t>
      </w:r>
      <w:r>
        <w:rPr>
          <w:rFonts w:ascii="Arial" w:hAnsi="Arial" w:cs="Arial"/>
        </w:rPr>
        <w:t>.</w:t>
      </w:r>
    </w:p>
    <w:p w:rsidR="00CC38A1" w:rsidRPr="002A1846" w:rsidRDefault="00CC38A1" w:rsidP="00016F28">
      <w:pPr>
        <w:pStyle w:val="ListParagraph"/>
        <w:numPr>
          <w:ilvl w:val="0"/>
          <w:numId w:val="21"/>
        </w:numPr>
        <w:jc w:val="both"/>
        <w:rPr>
          <w:rFonts w:ascii="Arial" w:hAnsi="Arial" w:cs="Arial"/>
          <w:szCs w:val="24"/>
        </w:rPr>
      </w:pPr>
      <w:r w:rsidRPr="002A1846">
        <w:rPr>
          <w:rFonts w:ascii="Arial" w:hAnsi="Arial" w:cs="Arial"/>
          <w:szCs w:val="24"/>
        </w:rPr>
        <w:t>S</w:t>
      </w:r>
      <w:r>
        <w:rPr>
          <w:rFonts w:ascii="Arial" w:hAnsi="Arial" w:cs="Arial"/>
          <w:szCs w:val="24"/>
        </w:rPr>
        <w:t>chools.</w:t>
      </w:r>
    </w:p>
    <w:p w:rsidR="00CC38A1" w:rsidRPr="002A1846" w:rsidRDefault="00CC38A1" w:rsidP="00016F28">
      <w:pPr>
        <w:pStyle w:val="ListParagraph"/>
        <w:numPr>
          <w:ilvl w:val="0"/>
          <w:numId w:val="21"/>
        </w:numPr>
        <w:jc w:val="both"/>
        <w:rPr>
          <w:rFonts w:ascii="Arial" w:hAnsi="Arial" w:cs="Arial"/>
          <w:szCs w:val="24"/>
        </w:rPr>
      </w:pPr>
      <w:r w:rsidRPr="002A1846">
        <w:rPr>
          <w:rFonts w:ascii="Arial" w:hAnsi="Arial" w:cs="Arial"/>
          <w:szCs w:val="24"/>
        </w:rPr>
        <w:t>T</w:t>
      </w:r>
      <w:r>
        <w:rPr>
          <w:rFonts w:ascii="Arial" w:hAnsi="Arial" w:cs="Arial"/>
          <w:szCs w:val="24"/>
        </w:rPr>
        <w:t>he Local Authority.</w:t>
      </w:r>
    </w:p>
    <w:p w:rsidR="008B2529" w:rsidRPr="002A1846" w:rsidRDefault="008B2529" w:rsidP="008B2529">
      <w:pPr>
        <w:jc w:val="both"/>
        <w:rPr>
          <w:rFonts w:ascii="Arial" w:hAnsi="Arial" w:cs="Arial"/>
          <w:szCs w:val="24"/>
        </w:rPr>
      </w:pPr>
      <w:r w:rsidRPr="002A1846">
        <w:rPr>
          <w:rFonts w:ascii="Arial" w:hAnsi="Arial" w:cs="Arial"/>
          <w:szCs w:val="24"/>
        </w:rPr>
        <w:t xml:space="preserve">Inspectors will look at a </w:t>
      </w:r>
      <w:r w:rsidRPr="002A1846">
        <w:rPr>
          <w:rFonts w:ascii="Arial" w:hAnsi="Arial" w:cs="Arial"/>
          <w:b/>
          <w:szCs w:val="24"/>
        </w:rPr>
        <w:t>wide range of groups of children and young people</w:t>
      </w:r>
      <w:r w:rsidRPr="002A1846">
        <w:rPr>
          <w:rFonts w:ascii="Arial" w:hAnsi="Arial" w:cs="Arial"/>
          <w:szCs w:val="24"/>
        </w:rPr>
        <w:t>, including those with different disabilities and special educational needs, those of different ages and those attending different settings, for example those in youth justice provision and those not attending school.</w:t>
      </w:r>
    </w:p>
    <w:p w:rsidR="008B2529" w:rsidRPr="002A1846" w:rsidRDefault="008B2529" w:rsidP="008B2529">
      <w:pPr>
        <w:jc w:val="both"/>
        <w:rPr>
          <w:rFonts w:ascii="Arial" w:hAnsi="Arial" w:cs="Arial"/>
          <w:szCs w:val="24"/>
        </w:rPr>
      </w:pPr>
      <w:r w:rsidRPr="002A1846">
        <w:rPr>
          <w:rFonts w:ascii="Arial" w:hAnsi="Arial" w:cs="Arial"/>
          <w:szCs w:val="24"/>
        </w:rPr>
        <w:t xml:space="preserve">The evaluation of </w:t>
      </w:r>
      <w:r w:rsidRPr="002A1846">
        <w:rPr>
          <w:rFonts w:ascii="Arial" w:hAnsi="Arial" w:cs="Arial"/>
          <w:b/>
          <w:szCs w:val="24"/>
        </w:rPr>
        <w:t>social care and health responsibilities</w:t>
      </w:r>
      <w:r w:rsidRPr="002A1846">
        <w:rPr>
          <w:rFonts w:ascii="Arial" w:hAnsi="Arial" w:cs="Arial"/>
          <w:szCs w:val="24"/>
        </w:rPr>
        <w:t xml:space="preserve"> will focus on how these services have contributed to meeting the needs of </w:t>
      </w:r>
      <w:r w:rsidRPr="002A1846">
        <w:rPr>
          <w:rFonts w:ascii="Arial" w:hAnsi="Arial" w:cs="Arial"/>
          <w:b/>
          <w:szCs w:val="24"/>
        </w:rPr>
        <w:t>children and young people</w:t>
      </w:r>
      <w:r w:rsidRPr="002A1846">
        <w:rPr>
          <w:rFonts w:ascii="Arial" w:hAnsi="Arial" w:cs="Arial"/>
          <w:szCs w:val="24"/>
        </w:rPr>
        <w:t xml:space="preserve"> who are </w:t>
      </w:r>
      <w:r w:rsidRPr="002A1846">
        <w:rPr>
          <w:rFonts w:ascii="Arial" w:hAnsi="Arial" w:cs="Arial"/>
          <w:b/>
          <w:szCs w:val="24"/>
        </w:rPr>
        <w:t>being assessed for, or are subject to, education, health and care plans</w:t>
      </w:r>
      <w:r w:rsidRPr="002A1846">
        <w:rPr>
          <w:rFonts w:ascii="Arial" w:hAnsi="Arial" w:cs="Arial"/>
          <w:szCs w:val="24"/>
        </w:rPr>
        <w:t xml:space="preserve">. </w:t>
      </w:r>
    </w:p>
    <w:p w:rsidR="00132F51" w:rsidRPr="002A1846" w:rsidRDefault="00132F51" w:rsidP="008B2529">
      <w:pPr>
        <w:jc w:val="both"/>
        <w:rPr>
          <w:rFonts w:ascii="Arial" w:hAnsi="Arial" w:cs="Arial"/>
          <w:b/>
          <w:szCs w:val="24"/>
        </w:rPr>
      </w:pPr>
      <w:r w:rsidRPr="002A1846">
        <w:rPr>
          <w:rFonts w:ascii="Arial" w:hAnsi="Arial" w:cs="Arial"/>
          <w:b/>
          <w:szCs w:val="24"/>
        </w:rPr>
        <w:t>Scope of Inspection for Partners</w:t>
      </w:r>
    </w:p>
    <w:p w:rsidR="00132F51" w:rsidRPr="002A1846" w:rsidRDefault="00132F51" w:rsidP="00132F51">
      <w:pPr>
        <w:pStyle w:val="NormalWeb"/>
        <w:numPr>
          <w:ilvl w:val="0"/>
          <w:numId w:val="11"/>
        </w:numPr>
        <w:rPr>
          <w:rFonts w:ascii="Arial" w:hAnsi="Arial" w:cs="Arial"/>
          <w:b/>
          <w:sz w:val="22"/>
        </w:rPr>
      </w:pPr>
      <w:r w:rsidRPr="002A1846">
        <w:rPr>
          <w:rFonts w:ascii="Arial" w:hAnsi="Arial" w:cs="Arial"/>
          <w:sz w:val="22"/>
        </w:rPr>
        <w:t xml:space="preserve">The </w:t>
      </w:r>
      <w:r w:rsidRPr="002A1846">
        <w:rPr>
          <w:rFonts w:ascii="Arial" w:hAnsi="Arial" w:cs="Arial"/>
          <w:b/>
          <w:sz w:val="22"/>
        </w:rPr>
        <w:t>Local Authority</w:t>
      </w:r>
      <w:r w:rsidRPr="002A1846">
        <w:rPr>
          <w:rFonts w:ascii="Arial" w:hAnsi="Arial" w:cs="Arial"/>
          <w:sz w:val="22"/>
        </w:rPr>
        <w:t xml:space="preserve"> will be inspected in relation to its </w:t>
      </w:r>
      <w:r w:rsidRPr="002A1846">
        <w:rPr>
          <w:rFonts w:ascii="Arial" w:hAnsi="Arial" w:cs="Arial"/>
          <w:b/>
          <w:sz w:val="22"/>
        </w:rPr>
        <w:t xml:space="preserve">provision for all children and young people with SEND. </w:t>
      </w:r>
      <w:r w:rsidRPr="002A1846">
        <w:rPr>
          <w:rFonts w:ascii="Arial" w:hAnsi="Arial" w:cs="Arial"/>
          <w:b/>
          <w:sz w:val="22"/>
        </w:rPr>
        <w:br/>
      </w:r>
    </w:p>
    <w:p w:rsidR="00132F51" w:rsidRPr="002A1846" w:rsidRDefault="00132F51" w:rsidP="00132F51">
      <w:pPr>
        <w:pStyle w:val="NormalWeb"/>
        <w:numPr>
          <w:ilvl w:val="0"/>
          <w:numId w:val="11"/>
        </w:numPr>
        <w:rPr>
          <w:rFonts w:ascii="Arial" w:hAnsi="Arial" w:cs="Arial"/>
          <w:sz w:val="22"/>
        </w:rPr>
      </w:pPr>
      <w:r w:rsidRPr="002A1846">
        <w:rPr>
          <w:rFonts w:ascii="Arial" w:hAnsi="Arial" w:cs="Arial"/>
          <w:b/>
          <w:sz w:val="22"/>
        </w:rPr>
        <w:lastRenderedPageBreak/>
        <w:t xml:space="preserve">Health and social care </w:t>
      </w:r>
      <w:r w:rsidRPr="002A1846">
        <w:rPr>
          <w:rFonts w:ascii="Arial" w:hAnsi="Arial" w:cs="Arial"/>
          <w:sz w:val="22"/>
        </w:rPr>
        <w:t xml:space="preserve">inspection will focus on those </w:t>
      </w:r>
      <w:r w:rsidRPr="002A1846">
        <w:rPr>
          <w:rFonts w:ascii="Arial" w:hAnsi="Arial" w:cs="Arial"/>
          <w:b/>
          <w:sz w:val="22"/>
        </w:rPr>
        <w:t xml:space="preserve">children and young people with, or applying for, EHC Plans. </w:t>
      </w:r>
      <w:r w:rsidRPr="002A1846">
        <w:rPr>
          <w:rFonts w:ascii="Arial" w:hAnsi="Arial" w:cs="Arial"/>
          <w:sz w:val="22"/>
        </w:rPr>
        <w:t>The inspection of health and social care will also assess services’ overall contribution and ability to work collaboratively to effectively meet the needs of children and young people.</w:t>
      </w:r>
      <w:r w:rsidRPr="002A1846">
        <w:rPr>
          <w:rFonts w:ascii="Arial" w:hAnsi="Arial" w:cs="Arial"/>
          <w:sz w:val="22"/>
        </w:rPr>
        <w:br/>
      </w:r>
    </w:p>
    <w:p w:rsidR="00132F51" w:rsidRPr="00E3029C" w:rsidRDefault="00132F51" w:rsidP="008B2529">
      <w:pPr>
        <w:pStyle w:val="NormalWeb"/>
        <w:numPr>
          <w:ilvl w:val="0"/>
          <w:numId w:val="11"/>
        </w:numPr>
        <w:jc w:val="both"/>
        <w:rPr>
          <w:rFonts w:ascii="Arial" w:hAnsi="Arial" w:cs="Arial"/>
          <w:sz w:val="22"/>
        </w:rPr>
      </w:pPr>
      <w:r w:rsidRPr="002A1846">
        <w:rPr>
          <w:rFonts w:ascii="Arial" w:hAnsi="Arial" w:cs="Arial"/>
          <w:b/>
          <w:sz w:val="22"/>
        </w:rPr>
        <w:t>Schools and other education sector settings</w:t>
      </w:r>
      <w:r w:rsidRPr="002A1846">
        <w:rPr>
          <w:rFonts w:ascii="Arial" w:hAnsi="Arial" w:cs="Arial"/>
          <w:sz w:val="22"/>
        </w:rPr>
        <w:t xml:space="preserve"> will be visited to assess the fulfillment of their</w:t>
      </w:r>
      <w:r w:rsidRPr="002A1846">
        <w:rPr>
          <w:rFonts w:ascii="Arial" w:hAnsi="Arial" w:cs="Arial"/>
          <w:b/>
          <w:sz w:val="22"/>
        </w:rPr>
        <w:t xml:space="preserve"> statutory responsibilities for children and young people with SEND</w:t>
      </w:r>
      <w:r w:rsidRPr="002A1846">
        <w:rPr>
          <w:rFonts w:ascii="Arial" w:hAnsi="Arial" w:cs="Arial"/>
          <w:sz w:val="22"/>
        </w:rPr>
        <w:t xml:space="preserve">. If </w:t>
      </w:r>
      <w:r w:rsidR="00E3029C">
        <w:rPr>
          <w:rFonts w:ascii="Arial" w:hAnsi="Arial" w:cs="Arial"/>
          <w:sz w:val="22"/>
        </w:rPr>
        <w:t xml:space="preserve">bad practice is identified by </w:t>
      </w:r>
      <w:r w:rsidRPr="002A1846">
        <w:rPr>
          <w:rFonts w:ascii="Arial" w:hAnsi="Arial" w:cs="Arial"/>
          <w:sz w:val="22"/>
        </w:rPr>
        <w:t>inspectors</w:t>
      </w:r>
      <w:r w:rsidR="00E3029C">
        <w:rPr>
          <w:rFonts w:ascii="Arial" w:hAnsi="Arial" w:cs="Arial"/>
          <w:sz w:val="22"/>
        </w:rPr>
        <w:t xml:space="preserve">, a </w:t>
      </w:r>
      <w:r w:rsidRPr="002A1846">
        <w:rPr>
          <w:rFonts w:ascii="Arial" w:hAnsi="Arial" w:cs="Arial"/>
          <w:b/>
          <w:sz w:val="22"/>
        </w:rPr>
        <w:t xml:space="preserve">section 5 </w:t>
      </w:r>
      <w:proofErr w:type="spellStart"/>
      <w:r w:rsidRPr="002A1846">
        <w:rPr>
          <w:rFonts w:ascii="Arial" w:hAnsi="Arial" w:cs="Arial"/>
          <w:b/>
          <w:sz w:val="22"/>
        </w:rPr>
        <w:t>Ofsted</w:t>
      </w:r>
      <w:proofErr w:type="spellEnd"/>
      <w:r w:rsidRPr="002A1846">
        <w:rPr>
          <w:rFonts w:ascii="Arial" w:hAnsi="Arial" w:cs="Arial"/>
          <w:b/>
          <w:sz w:val="22"/>
        </w:rPr>
        <w:t xml:space="preserve"> </w:t>
      </w:r>
      <w:proofErr w:type="gramStart"/>
      <w:r w:rsidRPr="002A1846">
        <w:rPr>
          <w:rFonts w:ascii="Arial" w:hAnsi="Arial" w:cs="Arial"/>
          <w:b/>
          <w:sz w:val="22"/>
        </w:rPr>
        <w:t>inspection</w:t>
      </w:r>
      <w:proofErr w:type="gramEnd"/>
      <w:r w:rsidR="00E3029C">
        <w:rPr>
          <w:rFonts w:ascii="Arial" w:hAnsi="Arial" w:cs="Arial"/>
          <w:b/>
          <w:sz w:val="22"/>
        </w:rPr>
        <w:t xml:space="preserve"> </w:t>
      </w:r>
      <w:r w:rsidR="00E3029C" w:rsidRPr="00E3029C">
        <w:rPr>
          <w:rFonts w:ascii="Arial" w:hAnsi="Arial" w:cs="Arial"/>
          <w:sz w:val="22"/>
        </w:rPr>
        <w:t>could be triggered</w:t>
      </w:r>
      <w:r w:rsidR="00E3029C">
        <w:rPr>
          <w:rFonts w:ascii="Arial" w:hAnsi="Arial" w:cs="Arial"/>
          <w:sz w:val="22"/>
        </w:rPr>
        <w:t>.</w:t>
      </w:r>
      <w:bookmarkStart w:id="0" w:name="_GoBack"/>
      <w:bookmarkEnd w:id="0"/>
    </w:p>
    <w:p w:rsidR="00C81ACB" w:rsidRPr="002A1846" w:rsidRDefault="00C81ACB" w:rsidP="00C81ACB">
      <w:pPr>
        <w:pStyle w:val="NormalWeb"/>
        <w:rPr>
          <w:rFonts w:ascii="Arial" w:hAnsi="Arial" w:cs="Arial"/>
          <w:b/>
          <w:sz w:val="22"/>
        </w:rPr>
      </w:pPr>
      <w:r w:rsidRPr="002A1846">
        <w:rPr>
          <w:rFonts w:ascii="Arial" w:hAnsi="Arial" w:cs="Arial"/>
          <w:b/>
          <w:sz w:val="22"/>
        </w:rPr>
        <w:t>Local Area Inspection Framework</w:t>
      </w:r>
    </w:p>
    <w:p w:rsidR="00C81ACB" w:rsidRPr="002A1846" w:rsidRDefault="006B2C6D" w:rsidP="00C81ACB">
      <w:pPr>
        <w:pStyle w:val="NormalWeb"/>
        <w:rPr>
          <w:rFonts w:ascii="Arial" w:hAnsi="Arial" w:cs="Arial"/>
          <w:sz w:val="22"/>
        </w:rPr>
      </w:pPr>
      <w:r w:rsidRPr="002A1846">
        <w:rPr>
          <w:rFonts w:ascii="Arial" w:hAnsi="Arial" w:cs="Arial"/>
          <w:sz w:val="22"/>
        </w:rPr>
        <w:t>T</w:t>
      </w:r>
      <w:r w:rsidR="00C81ACB" w:rsidRPr="002A1846">
        <w:rPr>
          <w:rFonts w:ascii="Arial" w:hAnsi="Arial" w:cs="Arial"/>
          <w:sz w:val="22"/>
        </w:rPr>
        <w:t>he inspection will evaluate against three national outcomes:</w:t>
      </w:r>
    </w:p>
    <w:p w:rsidR="00C81ACB" w:rsidRPr="002A1846" w:rsidRDefault="00C81ACB" w:rsidP="00C81ACB">
      <w:pPr>
        <w:pStyle w:val="NormalWeb"/>
        <w:numPr>
          <w:ilvl w:val="0"/>
          <w:numId w:val="10"/>
        </w:numPr>
        <w:rPr>
          <w:rFonts w:ascii="Arial" w:hAnsi="Arial" w:cs="Arial"/>
          <w:sz w:val="22"/>
          <w:szCs w:val="28"/>
        </w:rPr>
      </w:pPr>
      <w:r w:rsidRPr="002A1846">
        <w:rPr>
          <w:rFonts w:ascii="Arial" w:hAnsi="Arial" w:cs="Arial"/>
          <w:sz w:val="22"/>
          <w:szCs w:val="28"/>
        </w:rPr>
        <w:t xml:space="preserve">Positive experience of the SEND system for children, young people and families. </w:t>
      </w:r>
    </w:p>
    <w:p w:rsidR="00C81ACB" w:rsidRPr="002A1846" w:rsidRDefault="00C81ACB" w:rsidP="00C81ACB">
      <w:pPr>
        <w:pStyle w:val="NormalWeb"/>
        <w:numPr>
          <w:ilvl w:val="0"/>
          <w:numId w:val="10"/>
        </w:numPr>
        <w:rPr>
          <w:rFonts w:ascii="Arial" w:hAnsi="Arial" w:cs="Arial"/>
          <w:sz w:val="22"/>
          <w:szCs w:val="28"/>
        </w:rPr>
      </w:pPr>
      <w:r w:rsidRPr="002A1846">
        <w:rPr>
          <w:rFonts w:ascii="Arial" w:hAnsi="Arial" w:cs="Arial"/>
          <w:sz w:val="22"/>
          <w:szCs w:val="28"/>
        </w:rPr>
        <w:t xml:space="preserve">Positive outcomes for children, young people and their families. </w:t>
      </w:r>
    </w:p>
    <w:p w:rsidR="00C81ACB" w:rsidRPr="002A1846" w:rsidRDefault="00C81ACB" w:rsidP="00C81ACB">
      <w:pPr>
        <w:pStyle w:val="NormalWeb"/>
        <w:numPr>
          <w:ilvl w:val="0"/>
          <w:numId w:val="10"/>
        </w:numPr>
        <w:rPr>
          <w:rFonts w:ascii="Arial" w:hAnsi="Arial" w:cs="Arial"/>
          <w:sz w:val="22"/>
          <w:szCs w:val="28"/>
        </w:rPr>
      </w:pPr>
      <w:r w:rsidRPr="002A1846">
        <w:rPr>
          <w:rFonts w:ascii="Arial" w:hAnsi="Arial" w:cs="Arial"/>
          <w:sz w:val="22"/>
          <w:szCs w:val="28"/>
        </w:rPr>
        <w:t xml:space="preserve">Effective preparation for adulthood. </w:t>
      </w:r>
    </w:p>
    <w:p w:rsidR="006B2C6D" w:rsidRPr="002A1846" w:rsidRDefault="006B2C6D" w:rsidP="006B2C6D">
      <w:pPr>
        <w:pStyle w:val="NormalWeb"/>
        <w:rPr>
          <w:rFonts w:ascii="Arial" w:hAnsi="Arial" w:cs="Arial"/>
          <w:sz w:val="22"/>
          <w:szCs w:val="28"/>
        </w:rPr>
      </w:pPr>
      <w:r w:rsidRPr="002A1846">
        <w:rPr>
          <w:rFonts w:ascii="Arial" w:hAnsi="Arial" w:cs="Arial"/>
          <w:sz w:val="22"/>
          <w:szCs w:val="28"/>
        </w:rPr>
        <w:t>The following questions will form the basis of the inspection:</w:t>
      </w:r>
    </w:p>
    <w:p w:rsidR="006B2C6D" w:rsidRPr="002A1846" w:rsidRDefault="006B2C6D" w:rsidP="006B2C6D">
      <w:pPr>
        <w:pStyle w:val="NormalWeb"/>
        <w:rPr>
          <w:rFonts w:ascii="Arial" w:hAnsi="Arial" w:cs="Arial"/>
          <w:i/>
          <w:sz w:val="22"/>
        </w:rPr>
      </w:pPr>
      <w:r w:rsidRPr="002A1846">
        <w:rPr>
          <w:rFonts w:ascii="Arial" w:hAnsi="Arial" w:cs="Arial"/>
          <w:i/>
          <w:sz w:val="22"/>
        </w:rPr>
        <w:t>How effectively does the local area identify children and young people who have special educational needs and/or disabilities?</w:t>
      </w:r>
    </w:p>
    <w:p w:rsidR="006B2C6D" w:rsidRPr="002A1846" w:rsidRDefault="006B2C6D" w:rsidP="006B2C6D">
      <w:pPr>
        <w:pStyle w:val="NormalWeb"/>
        <w:rPr>
          <w:rFonts w:ascii="Arial" w:hAnsi="Arial" w:cs="Arial"/>
          <w:i/>
          <w:sz w:val="22"/>
        </w:rPr>
      </w:pPr>
      <w:r w:rsidRPr="002A1846">
        <w:rPr>
          <w:rFonts w:ascii="Arial" w:hAnsi="Arial" w:cs="Arial"/>
          <w:i/>
          <w:sz w:val="22"/>
        </w:rPr>
        <w:t>How effectively does the local area assess and meet the needs of children and young people who have special educational needs and/or disabilities?</w:t>
      </w:r>
    </w:p>
    <w:p w:rsidR="006B2C6D" w:rsidRPr="002A1846" w:rsidRDefault="006B2C6D" w:rsidP="006B2C6D">
      <w:pPr>
        <w:pStyle w:val="NormalWeb"/>
        <w:rPr>
          <w:rFonts w:ascii="Arial" w:hAnsi="Arial" w:cs="Arial"/>
          <w:i/>
          <w:sz w:val="22"/>
        </w:rPr>
      </w:pPr>
      <w:r w:rsidRPr="002A1846">
        <w:rPr>
          <w:rFonts w:ascii="Arial" w:hAnsi="Arial" w:cs="Arial"/>
          <w:i/>
          <w:sz w:val="22"/>
        </w:rPr>
        <w:t>How effectively does the local area improve outcomes for children and young people who have special educational needs and/or disabilities?</w:t>
      </w:r>
    </w:p>
    <w:p w:rsidR="00767993" w:rsidRPr="002A1846" w:rsidRDefault="00767993" w:rsidP="006B2C6D">
      <w:pPr>
        <w:pStyle w:val="NormalWeb"/>
        <w:rPr>
          <w:rFonts w:ascii="Arial" w:hAnsi="Arial" w:cs="Arial"/>
          <w:b/>
          <w:sz w:val="22"/>
        </w:rPr>
      </w:pPr>
      <w:r w:rsidRPr="002A1846">
        <w:rPr>
          <w:rFonts w:ascii="Arial" w:hAnsi="Arial" w:cs="Arial"/>
          <w:b/>
          <w:sz w:val="22"/>
        </w:rPr>
        <w:t>Key Facts and Figures on the Local Area Inspection</w:t>
      </w:r>
    </w:p>
    <w:p w:rsidR="00767993" w:rsidRPr="002A1846" w:rsidRDefault="00767993" w:rsidP="00767993">
      <w:pPr>
        <w:pStyle w:val="NormalWeb"/>
        <w:numPr>
          <w:ilvl w:val="0"/>
          <w:numId w:val="19"/>
        </w:numPr>
        <w:rPr>
          <w:rFonts w:ascii="Arial" w:hAnsi="Arial" w:cs="Arial"/>
          <w:sz w:val="22"/>
        </w:rPr>
      </w:pPr>
      <w:r w:rsidRPr="002A1846">
        <w:rPr>
          <w:rFonts w:ascii="Arial" w:hAnsi="Arial" w:cs="Arial"/>
          <w:sz w:val="22"/>
        </w:rPr>
        <w:t>The local area will be given five working days’ notice</w:t>
      </w:r>
      <w:r w:rsidR="00E61084" w:rsidRPr="002A1846">
        <w:rPr>
          <w:rFonts w:ascii="Arial" w:hAnsi="Arial" w:cs="Arial"/>
          <w:sz w:val="22"/>
        </w:rPr>
        <w:t>,</w:t>
      </w:r>
      <w:r w:rsidRPr="002A1846">
        <w:rPr>
          <w:rFonts w:ascii="Arial" w:hAnsi="Arial" w:cs="Arial"/>
          <w:sz w:val="22"/>
        </w:rPr>
        <w:t xml:space="preserve"> and the inspection can only take place during term time. </w:t>
      </w:r>
    </w:p>
    <w:p w:rsidR="00767993" w:rsidRPr="002A1846" w:rsidRDefault="00767993" w:rsidP="00767993">
      <w:pPr>
        <w:pStyle w:val="NormalWeb"/>
        <w:numPr>
          <w:ilvl w:val="0"/>
          <w:numId w:val="19"/>
        </w:numPr>
        <w:rPr>
          <w:rFonts w:ascii="Arial" w:hAnsi="Arial" w:cs="Arial"/>
          <w:sz w:val="22"/>
        </w:rPr>
      </w:pPr>
      <w:r w:rsidRPr="002A1846">
        <w:rPr>
          <w:rFonts w:ascii="Arial" w:hAnsi="Arial" w:cs="Arial"/>
          <w:sz w:val="22"/>
        </w:rPr>
        <w:t xml:space="preserve">The inspection will last five days. </w:t>
      </w:r>
    </w:p>
    <w:p w:rsidR="00767993" w:rsidRPr="002A1846" w:rsidRDefault="00767993" w:rsidP="00767993">
      <w:pPr>
        <w:pStyle w:val="NormalWeb"/>
        <w:numPr>
          <w:ilvl w:val="0"/>
          <w:numId w:val="19"/>
        </w:numPr>
        <w:rPr>
          <w:rFonts w:ascii="Arial" w:hAnsi="Arial" w:cs="Arial"/>
          <w:sz w:val="22"/>
        </w:rPr>
      </w:pPr>
      <w:r w:rsidRPr="002A1846">
        <w:rPr>
          <w:rFonts w:ascii="Arial" w:hAnsi="Arial" w:cs="Arial"/>
          <w:sz w:val="22"/>
        </w:rPr>
        <w:t xml:space="preserve">Professionals from across the city will be involved in the inspection and around 12 schools may be visited. </w:t>
      </w:r>
    </w:p>
    <w:p w:rsidR="004B15EB" w:rsidRPr="002A1846" w:rsidRDefault="00767993" w:rsidP="004B15EB">
      <w:pPr>
        <w:pStyle w:val="NormalWeb"/>
        <w:numPr>
          <w:ilvl w:val="0"/>
          <w:numId w:val="19"/>
        </w:numPr>
        <w:rPr>
          <w:rFonts w:ascii="Arial" w:hAnsi="Arial" w:cs="Arial"/>
          <w:sz w:val="22"/>
        </w:rPr>
      </w:pPr>
      <w:r w:rsidRPr="002A1846">
        <w:rPr>
          <w:rFonts w:ascii="Arial" w:hAnsi="Arial" w:cs="Arial"/>
          <w:sz w:val="22"/>
        </w:rPr>
        <w:t xml:space="preserve">Visits to schools are on SEND, however if inspectors have concern about the quality of inclusive practice, this could trigger a full </w:t>
      </w:r>
      <w:proofErr w:type="spellStart"/>
      <w:r w:rsidRPr="002A1846">
        <w:rPr>
          <w:rFonts w:ascii="Arial" w:hAnsi="Arial" w:cs="Arial"/>
          <w:sz w:val="22"/>
        </w:rPr>
        <w:t>Ofsted</w:t>
      </w:r>
      <w:proofErr w:type="spellEnd"/>
      <w:r w:rsidRPr="002A1846">
        <w:rPr>
          <w:rFonts w:ascii="Arial" w:hAnsi="Arial" w:cs="Arial"/>
          <w:sz w:val="22"/>
        </w:rPr>
        <w:t xml:space="preserve"> inspection of the school. </w:t>
      </w:r>
    </w:p>
    <w:p w:rsidR="00E307B4" w:rsidRPr="002A1846" w:rsidRDefault="00E307B4" w:rsidP="00E307B4">
      <w:pPr>
        <w:pStyle w:val="NormalWeb"/>
        <w:rPr>
          <w:rFonts w:ascii="Arial" w:hAnsi="Arial" w:cs="Arial"/>
          <w:b/>
          <w:sz w:val="22"/>
        </w:rPr>
      </w:pPr>
      <w:r w:rsidRPr="002A1846">
        <w:rPr>
          <w:rFonts w:ascii="Arial" w:hAnsi="Arial" w:cs="Arial"/>
          <w:b/>
          <w:sz w:val="22"/>
        </w:rPr>
        <w:t xml:space="preserve">Preparation </w:t>
      </w:r>
    </w:p>
    <w:p w:rsidR="002A1846" w:rsidRPr="002A1846" w:rsidRDefault="002A1846" w:rsidP="002A1846">
      <w:pPr>
        <w:pStyle w:val="NormalWeb"/>
        <w:numPr>
          <w:ilvl w:val="0"/>
          <w:numId w:val="22"/>
        </w:numPr>
        <w:rPr>
          <w:rFonts w:ascii="Arial" w:hAnsi="Arial" w:cs="Arial"/>
          <w:sz w:val="22"/>
        </w:rPr>
      </w:pPr>
      <w:r w:rsidRPr="002A1846">
        <w:rPr>
          <w:rFonts w:ascii="Arial" w:hAnsi="Arial" w:cs="Arial"/>
          <w:sz w:val="22"/>
        </w:rPr>
        <w:t xml:space="preserve">The multi-agency Inclusion Programme Board is overseeing the preparation for inspection. </w:t>
      </w:r>
    </w:p>
    <w:p w:rsidR="002A1846" w:rsidRPr="002A1846" w:rsidRDefault="002A1846" w:rsidP="002A1846">
      <w:pPr>
        <w:pStyle w:val="NormalWeb"/>
        <w:numPr>
          <w:ilvl w:val="0"/>
          <w:numId w:val="22"/>
        </w:numPr>
        <w:rPr>
          <w:rFonts w:ascii="Arial" w:hAnsi="Arial" w:cs="Arial"/>
          <w:sz w:val="22"/>
        </w:rPr>
      </w:pPr>
      <w:r w:rsidRPr="002A1846">
        <w:rPr>
          <w:rFonts w:ascii="Arial" w:hAnsi="Arial" w:cs="Arial"/>
          <w:sz w:val="22"/>
        </w:rPr>
        <w:t xml:space="preserve">Briefings are underway with partners from across the city, including health, social care and schools. </w:t>
      </w:r>
    </w:p>
    <w:p w:rsidR="002A1846" w:rsidRPr="002A1846" w:rsidRDefault="002A1846" w:rsidP="002A1846">
      <w:pPr>
        <w:pStyle w:val="NormalWeb"/>
        <w:numPr>
          <w:ilvl w:val="0"/>
          <w:numId w:val="22"/>
        </w:numPr>
        <w:rPr>
          <w:rFonts w:ascii="Arial" w:hAnsi="Arial" w:cs="Arial"/>
          <w:sz w:val="22"/>
        </w:rPr>
      </w:pPr>
      <w:r w:rsidRPr="002A1846">
        <w:rPr>
          <w:rFonts w:ascii="Arial" w:hAnsi="Arial" w:cs="Arial"/>
          <w:sz w:val="22"/>
        </w:rPr>
        <w:t xml:space="preserve">If you have any questions on the inspection please contact </w:t>
      </w:r>
      <w:hyperlink r:id="rId9" w:history="1">
        <w:r w:rsidRPr="002A1846">
          <w:rPr>
            <w:rStyle w:val="Hyperlink"/>
            <w:rFonts w:ascii="Arial" w:hAnsi="Arial" w:cs="Arial"/>
            <w:sz w:val="22"/>
          </w:rPr>
          <w:t>tim.bowman@sheffield.gov.uk</w:t>
        </w:r>
      </w:hyperlink>
      <w:r w:rsidRPr="002A1846">
        <w:rPr>
          <w:rFonts w:ascii="Arial" w:hAnsi="Arial" w:cs="Arial"/>
          <w:sz w:val="22"/>
        </w:rPr>
        <w:t xml:space="preserve">  </w:t>
      </w:r>
    </w:p>
    <w:p w:rsidR="00456AF6" w:rsidRPr="002A1846" w:rsidRDefault="006B2C6D" w:rsidP="00E61084">
      <w:pPr>
        <w:pStyle w:val="NormalWeb"/>
        <w:rPr>
          <w:rFonts w:ascii="Arial" w:hAnsi="Arial" w:cs="Arial"/>
          <w:b/>
          <w:noProof/>
          <w:sz w:val="22"/>
          <w:lang w:eastAsia="en-GB"/>
        </w:rPr>
      </w:pPr>
      <w:r w:rsidRPr="002A1846">
        <w:rPr>
          <w:rFonts w:ascii="Arial" w:hAnsi="Arial" w:cs="Arial"/>
          <w:b/>
          <w:sz w:val="22"/>
        </w:rPr>
        <w:t>Essential Reading</w:t>
      </w:r>
      <w:r w:rsidR="008B2529" w:rsidRPr="002A1846">
        <w:rPr>
          <w:rFonts w:ascii="Arial" w:hAnsi="Arial" w:cs="Arial"/>
          <w:b/>
          <w:noProof/>
          <w:sz w:val="22"/>
          <w:lang w:eastAsia="en-GB"/>
        </w:rPr>
        <w:t xml:space="preserve"> </w:t>
      </w:r>
    </w:p>
    <w:p w:rsidR="00E61084" w:rsidRPr="002A1846" w:rsidRDefault="00E3029C" w:rsidP="00E61084">
      <w:pPr>
        <w:pStyle w:val="NormalWeb"/>
        <w:numPr>
          <w:ilvl w:val="0"/>
          <w:numId w:val="20"/>
        </w:numPr>
        <w:rPr>
          <w:rFonts w:ascii="Arial" w:hAnsi="Arial" w:cs="Arial"/>
          <w:noProof/>
          <w:sz w:val="22"/>
          <w:lang w:eastAsia="en-GB"/>
        </w:rPr>
      </w:pPr>
      <w:hyperlink r:id="rId10" w:history="1">
        <w:r w:rsidR="00E61084" w:rsidRPr="002A1846">
          <w:rPr>
            <w:rStyle w:val="Hyperlink"/>
            <w:rFonts w:ascii="Arial" w:hAnsi="Arial" w:cs="Arial"/>
            <w:noProof/>
            <w:sz w:val="22"/>
            <w:lang w:eastAsia="en-GB"/>
          </w:rPr>
          <w:t>SEND Local Area Inspection Framework.</w:t>
        </w:r>
      </w:hyperlink>
      <w:r w:rsidR="00E61084" w:rsidRPr="002A1846">
        <w:rPr>
          <w:rFonts w:ascii="Arial" w:hAnsi="Arial" w:cs="Arial"/>
          <w:noProof/>
          <w:sz w:val="22"/>
          <w:lang w:eastAsia="en-GB"/>
        </w:rPr>
        <w:t xml:space="preserve"> </w:t>
      </w:r>
    </w:p>
    <w:p w:rsidR="00E61084" w:rsidRPr="002A1846" w:rsidRDefault="00E3029C" w:rsidP="00E61084">
      <w:pPr>
        <w:pStyle w:val="NormalWeb"/>
        <w:numPr>
          <w:ilvl w:val="0"/>
          <w:numId w:val="20"/>
        </w:numPr>
        <w:rPr>
          <w:rFonts w:ascii="Arial" w:hAnsi="Arial" w:cs="Arial"/>
          <w:noProof/>
          <w:sz w:val="22"/>
          <w:lang w:eastAsia="en-GB"/>
        </w:rPr>
      </w:pPr>
      <w:hyperlink r:id="rId11" w:history="1">
        <w:r w:rsidR="00E61084" w:rsidRPr="002A1846">
          <w:rPr>
            <w:rStyle w:val="Hyperlink"/>
            <w:rFonts w:ascii="Arial" w:hAnsi="Arial" w:cs="Arial"/>
            <w:noProof/>
            <w:sz w:val="22"/>
            <w:lang w:eastAsia="en-GB"/>
          </w:rPr>
          <w:t>SEND Local Area Inspection Handbook.</w:t>
        </w:r>
      </w:hyperlink>
      <w:r w:rsidR="00E61084" w:rsidRPr="002A1846">
        <w:rPr>
          <w:rFonts w:ascii="Arial" w:hAnsi="Arial" w:cs="Arial"/>
          <w:noProof/>
          <w:sz w:val="22"/>
          <w:lang w:eastAsia="en-GB"/>
        </w:rPr>
        <w:t xml:space="preserve"> </w:t>
      </w:r>
    </w:p>
    <w:sectPr w:rsidR="00E61084" w:rsidRPr="002A184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29" w:rsidRDefault="008B2529" w:rsidP="008B2529">
      <w:pPr>
        <w:spacing w:after="0" w:line="240" w:lineRule="auto"/>
      </w:pPr>
      <w:r>
        <w:separator/>
      </w:r>
    </w:p>
  </w:endnote>
  <w:endnote w:type="continuationSeparator" w:id="0">
    <w:p w:rsidR="008B2529" w:rsidRDefault="008B2529" w:rsidP="008B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06522"/>
      <w:docPartObj>
        <w:docPartGallery w:val="Page Numbers (Bottom of Page)"/>
        <w:docPartUnique/>
      </w:docPartObj>
    </w:sdtPr>
    <w:sdtEndPr>
      <w:rPr>
        <w:noProof/>
      </w:rPr>
    </w:sdtEndPr>
    <w:sdtContent>
      <w:p w:rsidR="00CB7A8A" w:rsidRDefault="00CB7A8A">
        <w:pPr>
          <w:pStyle w:val="Footer"/>
          <w:jc w:val="center"/>
        </w:pPr>
        <w:r>
          <w:rPr>
            <w:noProof/>
            <w:lang w:eastAsia="en-GB"/>
          </w:rPr>
          <w:drawing>
            <wp:anchor distT="0" distB="0" distL="114300" distR="114300" simplePos="0" relativeHeight="251658240" behindDoc="0" locked="0" layoutInCell="1" allowOverlap="1" wp14:anchorId="7868F99D" wp14:editId="6E3CF4E4">
              <wp:simplePos x="0" y="0"/>
              <wp:positionH relativeFrom="column">
                <wp:posOffset>5143500</wp:posOffset>
              </wp:positionH>
              <wp:positionV relativeFrom="paragraph">
                <wp:posOffset>73660</wp:posOffset>
              </wp:positionV>
              <wp:extent cx="990600" cy="342265"/>
              <wp:effectExtent l="0" t="0" r="0" b="635"/>
              <wp:wrapSquare wrapText="bothSides"/>
              <wp:docPr id="6" name="Picture 6" descr="sheffield_ccg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_ccg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38BCE95" wp14:editId="1580F86F">
              <wp:simplePos x="0" y="0"/>
              <wp:positionH relativeFrom="column">
                <wp:posOffset>4667250</wp:posOffset>
              </wp:positionH>
              <wp:positionV relativeFrom="paragraph">
                <wp:posOffset>40640</wp:posOffset>
              </wp:positionV>
              <wp:extent cx="356235" cy="3905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6235" cy="3905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3029C">
          <w:rPr>
            <w:noProof/>
          </w:rPr>
          <w:t>2</w:t>
        </w:r>
        <w:r>
          <w:rPr>
            <w:noProof/>
          </w:rPr>
          <w:fldChar w:fldCharType="end"/>
        </w:r>
      </w:p>
    </w:sdtContent>
  </w:sdt>
  <w:p w:rsidR="00CB7A8A" w:rsidRDefault="00CB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29" w:rsidRDefault="008B2529" w:rsidP="008B2529">
      <w:pPr>
        <w:spacing w:after="0" w:line="240" w:lineRule="auto"/>
      </w:pPr>
      <w:r>
        <w:separator/>
      </w:r>
    </w:p>
  </w:footnote>
  <w:footnote w:type="continuationSeparator" w:id="0">
    <w:p w:rsidR="008B2529" w:rsidRDefault="008B2529" w:rsidP="008B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8A" w:rsidRDefault="006B2C6D" w:rsidP="00CB7A8A">
    <w:pPr>
      <w:pStyle w:val="Header"/>
      <w:tabs>
        <w:tab w:val="clear" w:pos="4513"/>
        <w:tab w:val="clear" w:pos="9026"/>
        <w:tab w:val="left" w:pos="3735"/>
      </w:tabs>
    </w:pPr>
    <w:r>
      <w:t xml:space="preserve">Inclusion Programme </w:t>
    </w:r>
    <w:r w:rsidR="00E307B4">
      <w:t>Bulletin – July</w:t>
    </w:r>
    <w:r w:rsidR="00767993">
      <w:t xml:space="preserve"> 2016</w:t>
    </w:r>
    <w:r w:rsidR="00CB7A8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6A2"/>
    <w:multiLevelType w:val="hybridMultilevel"/>
    <w:tmpl w:val="B09E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A4E20"/>
    <w:multiLevelType w:val="hybridMultilevel"/>
    <w:tmpl w:val="B310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F2A11"/>
    <w:multiLevelType w:val="hybridMultilevel"/>
    <w:tmpl w:val="2A4C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547C5"/>
    <w:multiLevelType w:val="hybridMultilevel"/>
    <w:tmpl w:val="2410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E65C3"/>
    <w:multiLevelType w:val="hybridMultilevel"/>
    <w:tmpl w:val="6D9E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552FA"/>
    <w:multiLevelType w:val="hybridMultilevel"/>
    <w:tmpl w:val="2878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73AEB"/>
    <w:multiLevelType w:val="hybridMultilevel"/>
    <w:tmpl w:val="1C82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A7838"/>
    <w:multiLevelType w:val="hybridMultilevel"/>
    <w:tmpl w:val="ABDA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F112B"/>
    <w:multiLevelType w:val="hybridMultilevel"/>
    <w:tmpl w:val="A92A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E2351"/>
    <w:multiLevelType w:val="hybridMultilevel"/>
    <w:tmpl w:val="4C14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74997"/>
    <w:multiLevelType w:val="hybridMultilevel"/>
    <w:tmpl w:val="D06C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482B6B"/>
    <w:multiLevelType w:val="hybridMultilevel"/>
    <w:tmpl w:val="C288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E1049A"/>
    <w:multiLevelType w:val="hybridMultilevel"/>
    <w:tmpl w:val="F196C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C22B2"/>
    <w:multiLevelType w:val="hybridMultilevel"/>
    <w:tmpl w:val="A27613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0826C02"/>
    <w:multiLevelType w:val="hybridMultilevel"/>
    <w:tmpl w:val="C364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73B67"/>
    <w:multiLevelType w:val="hybridMultilevel"/>
    <w:tmpl w:val="1AC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E1DDE"/>
    <w:multiLevelType w:val="hybridMultilevel"/>
    <w:tmpl w:val="105E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EE205C"/>
    <w:multiLevelType w:val="hybridMultilevel"/>
    <w:tmpl w:val="28C0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07708"/>
    <w:multiLevelType w:val="hybridMultilevel"/>
    <w:tmpl w:val="9E9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286D1D"/>
    <w:multiLevelType w:val="hybridMultilevel"/>
    <w:tmpl w:val="82AE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C0047"/>
    <w:multiLevelType w:val="hybridMultilevel"/>
    <w:tmpl w:val="C58A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AF3390"/>
    <w:multiLevelType w:val="hybridMultilevel"/>
    <w:tmpl w:val="BEE6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20"/>
  </w:num>
  <w:num w:numId="6">
    <w:abstractNumId w:val="15"/>
  </w:num>
  <w:num w:numId="7">
    <w:abstractNumId w:val="4"/>
  </w:num>
  <w:num w:numId="8">
    <w:abstractNumId w:val="7"/>
  </w:num>
  <w:num w:numId="9">
    <w:abstractNumId w:val="17"/>
  </w:num>
  <w:num w:numId="10">
    <w:abstractNumId w:val="14"/>
  </w:num>
  <w:num w:numId="11">
    <w:abstractNumId w:val="5"/>
  </w:num>
  <w:num w:numId="12">
    <w:abstractNumId w:val="19"/>
  </w:num>
  <w:num w:numId="13">
    <w:abstractNumId w:val="1"/>
  </w:num>
  <w:num w:numId="14">
    <w:abstractNumId w:val="21"/>
  </w:num>
  <w:num w:numId="15">
    <w:abstractNumId w:val="3"/>
  </w:num>
  <w:num w:numId="16">
    <w:abstractNumId w:val="11"/>
  </w:num>
  <w:num w:numId="17">
    <w:abstractNumId w:val="6"/>
  </w:num>
  <w:num w:numId="18">
    <w:abstractNumId w:val="18"/>
  </w:num>
  <w:num w:numId="19">
    <w:abstractNumId w:val="9"/>
  </w:num>
  <w:num w:numId="20">
    <w:abstractNumId w:val="8"/>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29"/>
    <w:rsid w:val="00016F28"/>
    <w:rsid w:val="00132F51"/>
    <w:rsid w:val="00157F73"/>
    <w:rsid w:val="00275FB6"/>
    <w:rsid w:val="002962BE"/>
    <w:rsid w:val="002A1846"/>
    <w:rsid w:val="002C79BF"/>
    <w:rsid w:val="00322003"/>
    <w:rsid w:val="00423681"/>
    <w:rsid w:val="00456AF6"/>
    <w:rsid w:val="004B15EB"/>
    <w:rsid w:val="0061724B"/>
    <w:rsid w:val="006B2C6D"/>
    <w:rsid w:val="006B5C40"/>
    <w:rsid w:val="006E4C77"/>
    <w:rsid w:val="00767993"/>
    <w:rsid w:val="008B2529"/>
    <w:rsid w:val="00981525"/>
    <w:rsid w:val="009B0EA9"/>
    <w:rsid w:val="00AA33B0"/>
    <w:rsid w:val="00C3587C"/>
    <w:rsid w:val="00C81ACB"/>
    <w:rsid w:val="00CB7A8A"/>
    <w:rsid w:val="00CC38A1"/>
    <w:rsid w:val="00DB5F41"/>
    <w:rsid w:val="00DD0369"/>
    <w:rsid w:val="00E00C2F"/>
    <w:rsid w:val="00E3029C"/>
    <w:rsid w:val="00E307B4"/>
    <w:rsid w:val="00E61084"/>
    <w:rsid w:val="00F468A4"/>
    <w:rsid w:val="00F5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29"/>
  </w:style>
  <w:style w:type="paragraph" w:styleId="Heading2">
    <w:name w:val="heading 2"/>
    <w:basedOn w:val="Normal"/>
    <w:next w:val="Normal"/>
    <w:link w:val="Heading2Char"/>
    <w:qFormat/>
    <w:rsid w:val="008B2529"/>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2529"/>
    <w:rPr>
      <w:rFonts w:ascii="Tahoma" w:eastAsia="Times New Roman" w:hAnsi="Tahoma" w:cs="Times New Roman"/>
      <w:b/>
      <w:sz w:val="28"/>
      <w:szCs w:val="28"/>
      <w:lang w:eastAsia="en-GB"/>
    </w:rPr>
  </w:style>
  <w:style w:type="paragraph" w:styleId="ListParagraph">
    <w:name w:val="List Paragraph"/>
    <w:basedOn w:val="Normal"/>
    <w:uiPriority w:val="34"/>
    <w:qFormat/>
    <w:rsid w:val="008B2529"/>
    <w:pPr>
      <w:ind w:left="720"/>
      <w:contextualSpacing/>
    </w:pPr>
  </w:style>
  <w:style w:type="paragraph" w:styleId="FootnoteText">
    <w:name w:val="footnote text"/>
    <w:basedOn w:val="Normal"/>
    <w:link w:val="FootnoteTextChar"/>
    <w:uiPriority w:val="99"/>
    <w:semiHidden/>
    <w:unhideWhenUsed/>
    <w:rsid w:val="008B2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529"/>
    <w:rPr>
      <w:sz w:val="20"/>
      <w:szCs w:val="20"/>
    </w:rPr>
  </w:style>
  <w:style w:type="character" w:styleId="FootnoteReference">
    <w:name w:val="footnote reference"/>
    <w:basedOn w:val="DefaultParagraphFont"/>
    <w:uiPriority w:val="99"/>
    <w:semiHidden/>
    <w:unhideWhenUsed/>
    <w:rsid w:val="008B2529"/>
    <w:rPr>
      <w:vertAlign w:val="superscript"/>
    </w:rPr>
  </w:style>
  <w:style w:type="paragraph" w:styleId="NormalWeb">
    <w:name w:val="Normal (Web)"/>
    <w:basedOn w:val="Normal"/>
    <w:uiPriority w:val="99"/>
    <w:unhideWhenUsed/>
    <w:rsid w:val="008B2529"/>
    <w:pPr>
      <w:spacing w:before="100" w:beforeAutospacing="1" w:after="100" w:afterAutospacing="1" w:line="240" w:lineRule="auto"/>
    </w:pPr>
    <w:rPr>
      <w:rFonts w:ascii="Times New Roman" w:hAnsi="Times New Roman" w:cs="Times New Roman"/>
      <w:sz w:val="24"/>
      <w:szCs w:val="24"/>
      <w:lang w:val="en-US"/>
    </w:rPr>
  </w:style>
  <w:style w:type="paragraph" w:customStyle="1" w:styleId="Unnumberedparagraph">
    <w:name w:val="Unnumbered paragraph"/>
    <w:basedOn w:val="Normal"/>
    <w:link w:val="UnnumberedparagraphChar"/>
    <w:rsid w:val="008B2529"/>
    <w:pPr>
      <w:spacing w:after="24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8B2529"/>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B2529"/>
    <w:rPr>
      <w:color w:val="0000FF" w:themeColor="hyperlink"/>
      <w:u w:val="single"/>
    </w:rPr>
  </w:style>
  <w:style w:type="paragraph" w:styleId="BalloonText">
    <w:name w:val="Balloon Text"/>
    <w:basedOn w:val="Normal"/>
    <w:link w:val="BalloonTextChar"/>
    <w:uiPriority w:val="99"/>
    <w:semiHidden/>
    <w:unhideWhenUsed/>
    <w:rsid w:val="008B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hAnsi="Tahoma" w:cs="Tahoma"/>
      <w:sz w:val="16"/>
      <w:szCs w:val="16"/>
    </w:rPr>
  </w:style>
  <w:style w:type="paragraph" w:styleId="Header">
    <w:name w:val="header"/>
    <w:basedOn w:val="Normal"/>
    <w:link w:val="HeaderChar"/>
    <w:uiPriority w:val="99"/>
    <w:unhideWhenUsed/>
    <w:rsid w:val="00CB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A8A"/>
  </w:style>
  <w:style w:type="paragraph" w:styleId="Footer">
    <w:name w:val="footer"/>
    <w:basedOn w:val="Normal"/>
    <w:link w:val="FooterChar"/>
    <w:uiPriority w:val="99"/>
    <w:unhideWhenUsed/>
    <w:rsid w:val="00CB7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A8A"/>
  </w:style>
  <w:style w:type="character" w:styleId="CommentReference">
    <w:name w:val="annotation reference"/>
    <w:basedOn w:val="DefaultParagraphFont"/>
    <w:uiPriority w:val="99"/>
    <w:semiHidden/>
    <w:unhideWhenUsed/>
    <w:rsid w:val="002A1846"/>
    <w:rPr>
      <w:sz w:val="16"/>
      <w:szCs w:val="16"/>
    </w:rPr>
  </w:style>
  <w:style w:type="paragraph" w:styleId="CommentText">
    <w:name w:val="annotation text"/>
    <w:basedOn w:val="Normal"/>
    <w:link w:val="CommentTextChar"/>
    <w:uiPriority w:val="99"/>
    <w:semiHidden/>
    <w:unhideWhenUsed/>
    <w:rsid w:val="002A1846"/>
    <w:pPr>
      <w:spacing w:line="240" w:lineRule="auto"/>
    </w:pPr>
    <w:rPr>
      <w:sz w:val="20"/>
      <w:szCs w:val="20"/>
    </w:rPr>
  </w:style>
  <w:style w:type="character" w:customStyle="1" w:styleId="CommentTextChar">
    <w:name w:val="Comment Text Char"/>
    <w:basedOn w:val="DefaultParagraphFont"/>
    <w:link w:val="CommentText"/>
    <w:uiPriority w:val="99"/>
    <w:semiHidden/>
    <w:rsid w:val="002A1846"/>
    <w:rPr>
      <w:sz w:val="20"/>
      <w:szCs w:val="20"/>
    </w:rPr>
  </w:style>
  <w:style w:type="paragraph" w:styleId="CommentSubject">
    <w:name w:val="annotation subject"/>
    <w:basedOn w:val="CommentText"/>
    <w:next w:val="CommentText"/>
    <w:link w:val="CommentSubjectChar"/>
    <w:uiPriority w:val="99"/>
    <w:semiHidden/>
    <w:unhideWhenUsed/>
    <w:rsid w:val="002A1846"/>
    <w:rPr>
      <w:b/>
      <w:bCs/>
    </w:rPr>
  </w:style>
  <w:style w:type="character" w:customStyle="1" w:styleId="CommentSubjectChar">
    <w:name w:val="Comment Subject Char"/>
    <w:basedOn w:val="CommentTextChar"/>
    <w:link w:val="CommentSubject"/>
    <w:uiPriority w:val="99"/>
    <w:semiHidden/>
    <w:rsid w:val="002A18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29"/>
  </w:style>
  <w:style w:type="paragraph" w:styleId="Heading2">
    <w:name w:val="heading 2"/>
    <w:basedOn w:val="Normal"/>
    <w:next w:val="Normal"/>
    <w:link w:val="Heading2Char"/>
    <w:qFormat/>
    <w:rsid w:val="008B2529"/>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2529"/>
    <w:rPr>
      <w:rFonts w:ascii="Tahoma" w:eastAsia="Times New Roman" w:hAnsi="Tahoma" w:cs="Times New Roman"/>
      <w:b/>
      <w:sz w:val="28"/>
      <w:szCs w:val="28"/>
      <w:lang w:eastAsia="en-GB"/>
    </w:rPr>
  </w:style>
  <w:style w:type="paragraph" w:styleId="ListParagraph">
    <w:name w:val="List Paragraph"/>
    <w:basedOn w:val="Normal"/>
    <w:uiPriority w:val="34"/>
    <w:qFormat/>
    <w:rsid w:val="008B2529"/>
    <w:pPr>
      <w:ind w:left="720"/>
      <w:contextualSpacing/>
    </w:pPr>
  </w:style>
  <w:style w:type="paragraph" w:styleId="FootnoteText">
    <w:name w:val="footnote text"/>
    <w:basedOn w:val="Normal"/>
    <w:link w:val="FootnoteTextChar"/>
    <w:uiPriority w:val="99"/>
    <w:semiHidden/>
    <w:unhideWhenUsed/>
    <w:rsid w:val="008B2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529"/>
    <w:rPr>
      <w:sz w:val="20"/>
      <w:szCs w:val="20"/>
    </w:rPr>
  </w:style>
  <w:style w:type="character" w:styleId="FootnoteReference">
    <w:name w:val="footnote reference"/>
    <w:basedOn w:val="DefaultParagraphFont"/>
    <w:uiPriority w:val="99"/>
    <w:semiHidden/>
    <w:unhideWhenUsed/>
    <w:rsid w:val="008B2529"/>
    <w:rPr>
      <w:vertAlign w:val="superscript"/>
    </w:rPr>
  </w:style>
  <w:style w:type="paragraph" w:styleId="NormalWeb">
    <w:name w:val="Normal (Web)"/>
    <w:basedOn w:val="Normal"/>
    <w:uiPriority w:val="99"/>
    <w:unhideWhenUsed/>
    <w:rsid w:val="008B2529"/>
    <w:pPr>
      <w:spacing w:before="100" w:beforeAutospacing="1" w:after="100" w:afterAutospacing="1" w:line="240" w:lineRule="auto"/>
    </w:pPr>
    <w:rPr>
      <w:rFonts w:ascii="Times New Roman" w:hAnsi="Times New Roman" w:cs="Times New Roman"/>
      <w:sz w:val="24"/>
      <w:szCs w:val="24"/>
      <w:lang w:val="en-US"/>
    </w:rPr>
  </w:style>
  <w:style w:type="paragraph" w:customStyle="1" w:styleId="Unnumberedparagraph">
    <w:name w:val="Unnumbered paragraph"/>
    <w:basedOn w:val="Normal"/>
    <w:link w:val="UnnumberedparagraphChar"/>
    <w:rsid w:val="008B2529"/>
    <w:pPr>
      <w:spacing w:after="24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8B2529"/>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B2529"/>
    <w:rPr>
      <w:color w:val="0000FF" w:themeColor="hyperlink"/>
      <w:u w:val="single"/>
    </w:rPr>
  </w:style>
  <w:style w:type="paragraph" w:styleId="BalloonText">
    <w:name w:val="Balloon Text"/>
    <w:basedOn w:val="Normal"/>
    <w:link w:val="BalloonTextChar"/>
    <w:uiPriority w:val="99"/>
    <w:semiHidden/>
    <w:unhideWhenUsed/>
    <w:rsid w:val="008B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hAnsi="Tahoma" w:cs="Tahoma"/>
      <w:sz w:val="16"/>
      <w:szCs w:val="16"/>
    </w:rPr>
  </w:style>
  <w:style w:type="paragraph" w:styleId="Header">
    <w:name w:val="header"/>
    <w:basedOn w:val="Normal"/>
    <w:link w:val="HeaderChar"/>
    <w:uiPriority w:val="99"/>
    <w:unhideWhenUsed/>
    <w:rsid w:val="00CB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A8A"/>
  </w:style>
  <w:style w:type="paragraph" w:styleId="Footer">
    <w:name w:val="footer"/>
    <w:basedOn w:val="Normal"/>
    <w:link w:val="FooterChar"/>
    <w:uiPriority w:val="99"/>
    <w:unhideWhenUsed/>
    <w:rsid w:val="00CB7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A8A"/>
  </w:style>
  <w:style w:type="character" w:styleId="CommentReference">
    <w:name w:val="annotation reference"/>
    <w:basedOn w:val="DefaultParagraphFont"/>
    <w:uiPriority w:val="99"/>
    <w:semiHidden/>
    <w:unhideWhenUsed/>
    <w:rsid w:val="002A1846"/>
    <w:rPr>
      <w:sz w:val="16"/>
      <w:szCs w:val="16"/>
    </w:rPr>
  </w:style>
  <w:style w:type="paragraph" w:styleId="CommentText">
    <w:name w:val="annotation text"/>
    <w:basedOn w:val="Normal"/>
    <w:link w:val="CommentTextChar"/>
    <w:uiPriority w:val="99"/>
    <w:semiHidden/>
    <w:unhideWhenUsed/>
    <w:rsid w:val="002A1846"/>
    <w:pPr>
      <w:spacing w:line="240" w:lineRule="auto"/>
    </w:pPr>
    <w:rPr>
      <w:sz w:val="20"/>
      <w:szCs w:val="20"/>
    </w:rPr>
  </w:style>
  <w:style w:type="character" w:customStyle="1" w:styleId="CommentTextChar">
    <w:name w:val="Comment Text Char"/>
    <w:basedOn w:val="DefaultParagraphFont"/>
    <w:link w:val="CommentText"/>
    <w:uiPriority w:val="99"/>
    <w:semiHidden/>
    <w:rsid w:val="002A1846"/>
    <w:rPr>
      <w:sz w:val="20"/>
      <w:szCs w:val="20"/>
    </w:rPr>
  </w:style>
  <w:style w:type="paragraph" w:styleId="CommentSubject">
    <w:name w:val="annotation subject"/>
    <w:basedOn w:val="CommentText"/>
    <w:next w:val="CommentText"/>
    <w:link w:val="CommentSubjectChar"/>
    <w:uiPriority w:val="99"/>
    <w:semiHidden/>
    <w:unhideWhenUsed/>
    <w:rsid w:val="002A1846"/>
    <w:rPr>
      <w:b/>
      <w:bCs/>
    </w:rPr>
  </w:style>
  <w:style w:type="character" w:customStyle="1" w:styleId="CommentSubjectChar">
    <w:name w:val="Comment Subject Char"/>
    <w:basedOn w:val="CommentTextChar"/>
    <w:link w:val="CommentSubject"/>
    <w:uiPriority w:val="99"/>
    <w:semiHidden/>
    <w:rsid w:val="002A1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21612/The_handbook_for_the_inspection_of_local_areas_effectiveness_in_identifying__meeting_needs_of_children_who_have_special_educational_needs_andor_disabiliti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21609/The_framework_for_the_inspection_of_local_areas_effectiveness_in_identifying_meeting_needs_children_who_have_special_educational_needs_andor_disabilities.pdf" TargetMode="External"/><Relationship Id="rId4" Type="http://schemas.microsoft.com/office/2007/relationships/stylesWithEffects" Target="stylesWithEffects.xml"/><Relationship Id="rId9" Type="http://schemas.openxmlformats.org/officeDocument/2006/relationships/hyperlink" Target="mailto:tim.bowman@sheffiel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AC38-D68C-4D61-B91D-774EC0D8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Peers Matthew (CEX)</dc:creator>
  <cp:lastModifiedBy>Featherstone John</cp:lastModifiedBy>
  <cp:revision>3</cp:revision>
  <cp:lastPrinted>2016-06-15T08:53:00Z</cp:lastPrinted>
  <dcterms:created xsi:type="dcterms:W3CDTF">2016-07-06T13:18:00Z</dcterms:created>
  <dcterms:modified xsi:type="dcterms:W3CDTF">2016-07-11T12:47:00Z</dcterms:modified>
</cp:coreProperties>
</file>